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80CA5" w:rsidRPr="00C21D00" w:rsidRDefault="00444761">
      <w:pPr>
        <w:jc w:val="center"/>
        <w:rPr>
          <w:rFonts w:asciiTheme="minorEastAsia" w:hAnsiTheme="minorEastAsia" w:cs="標楷體"/>
          <w:sz w:val="32"/>
          <w:szCs w:val="32"/>
        </w:rPr>
      </w:pPr>
      <w:bookmarkStart w:id="0" w:name="_heading=h.30j0zll" w:colFirst="0" w:colLast="0"/>
      <w:bookmarkEnd w:id="0"/>
      <w:r w:rsidRPr="00C21D00">
        <w:rPr>
          <w:rFonts w:asciiTheme="minorEastAsia" w:hAnsiTheme="minorEastAsia" w:cs="標楷體"/>
          <w:sz w:val="32"/>
          <w:szCs w:val="32"/>
        </w:rPr>
        <w:t>輔仁大學外語學院</w:t>
      </w:r>
    </w:p>
    <w:p w14:paraId="00000002" w14:textId="77777777" w:rsidR="00080CA5" w:rsidRPr="00C21D00" w:rsidRDefault="00444761">
      <w:pPr>
        <w:jc w:val="center"/>
        <w:rPr>
          <w:rFonts w:asciiTheme="minorEastAsia" w:hAnsiTheme="minorEastAsia" w:cs="標楷體"/>
          <w:sz w:val="32"/>
          <w:szCs w:val="32"/>
        </w:rPr>
      </w:pPr>
      <w:r w:rsidRPr="0010699D">
        <w:rPr>
          <w:rFonts w:asciiTheme="minorEastAsia" w:hAnsiTheme="minorEastAsia" w:cs="標楷體"/>
          <w:sz w:val="32"/>
          <w:szCs w:val="32"/>
        </w:rPr>
        <w:t>《服務與跨域學習成就獎》實</w:t>
      </w:r>
      <w:r w:rsidRPr="00C21D00">
        <w:rPr>
          <w:rFonts w:asciiTheme="minorEastAsia" w:hAnsiTheme="minorEastAsia" w:cs="標楷體"/>
          <w:sz w:val="32"/>
          <w:szCs w:val="32"/>
        </w:rPr>
        <w:t>施辦法</w:t>
      </w:r>
    </w:p>
    <w:p w14:paraId="00000003" w14:textId="77777777" w:rsidR="00080CA5" w:rsidRPr="00C21D00" w:rsidRDefault="00080CA5">
      <w:pPr>
        <w:spacing w:line="360" w:lineRule="auto"/>
        <w:rPr>
          <w:rFonts w:asciiTheme="minorEastAsia" w:hAnsiTheme="minorEastAsia" w:cs="標楷體"/>
        </w:rPr>
      </w:pPr>
    </w:p>
    <w:p w14:paraId="7F6BF676" w14:textId="4FE36FB4" w:rsidR="00444761" w:rsidRPr="00C21D00" w:rsidRDefault="00444761" w:rsidP="00C21D00">
      <w:pPr>
        <w:adjustRightInd w:val="0"/>
        <w:snapToGrid w:val="0"/>
        <w:ind w:right="142"/>
        <w:jc w:val="right"/>
        <w:rPr>
          <w:rFonts w:asciiTheme="minorEastAsia" w:hAnsiTheme="minorEastAsia" w:cs="標楷體"/>
          <w:color w:val="FF0000"/>
          <w:sz w:val="20"/>
          <w:szCs w:val="20"/>
        </w:rPr>
      </w:pPr>
      <w:bookmarkStart w:id="1" w:name="_heading=h.gjdgxs" w:colFirst="0" w:colLast="0"/>
      <w:bookmarkEnd w:id="1"/>
      <w:r w:rsidRPr="00C21D00">
        <w:rPr>
          <w:rFonts w:asciiTheme="minorEastAsia" w:hAnsiTheme="minorEastAsia" w:cs="標楷體" w:hint="eastAsia"/>
          <w:color w:val="FF0000"/>
          <w:sz w:val="20"/>
          <w:szCs w:val="20"/>
        </w:rPr>
        <w:t>經111.04.13 110學年度第2學期外語學院</w:t>
      </w:r>
      <w:proofErr w:type="gramStart"/>
      <w:r w:rsidRPr="00C21D00">
        <w:rPr>
          <w:rFonts w:asciiTheme="minorEastAsia" w:hAnsiTheme="minorEastAsia" w:cs="標楷體" w:hint="eastAsia"/>
          <w:color w:val="FF0000"/>
          <w:sz w:val="20"/>
          <w:szCs w:val="20"/>
        </w:rPr>
        <w:t>院務</w:t>
      </w:r>
      <w:proofErr w:type="gramEnd"/>
      <w:r w:rsidRPr="00C21D00">
        <w:rPr>
          <w:rFonts w:asciiTheme="minorEastAsia" w:hAnsiTheme="minorEastAsia" w:cs="標楷體" w:hint="eastAsia"/>
          <w:color w:val="FF0000"/>
          <w:sz w:val="20"/>
          <w:szCs w:val="20"/>
        </w:rPr>
        <w:t>會議通過</w:t>
      </w:r>
    </w:p>
    <w:p w14:paraId="00000004" w14:textId="72D20DE5" w:rsidR="00080CA5" w:rsidRPr="00C21D00" w:rsidRDefault="00444761" w:rsidP="00C21D00">
      <w:pPr>
        <w:adjustRightInd w:val="0"/>
        <w:snapToGrid w:val="0"/>
        <w:ind w:right="142"/>
        <w:jc w:val="right"/>
        <w:rPr>
          <w:rFonts w:asciiTheme="minorEastAsia" w:hAnsiTheme="minorEastAsia" w:cs="標楷體"/>
          <w:color w:val="000000" w:themeColor="text1"/>
          <w:sz w:val="20"/>
          <w:szCs w:val="20"/>
        </w:rPr>
      </w:pPr>
      <w:r w:rsidRPr="00C21D00">
        <w:rPr>
          <w:rFonts w:asciiTheme="minorEastAsia" w:hAnsiTheme="minorEastAsia" w:cs="標楷體"/>
          <w:color w:val="000000" w:themeColor="text1"/>
          <w:sz w:val="20"/>
          <w:szCs w:val="20"/>
        </w:rPr>
        <w:t>經110.10.29  110學年度第1學期外語學院第3次主管會議通過</w:t>
      </w:r>
    </w:p>
    <w:p w14:paraId="00000005" w14:textId="77777777" w:rsidR="00080CA5" w:rsidRPr="00C21D00" w:rsidRDefault="00080CA5" w:rsidP="00C21D00">
      <w:pPr>
        <w:adjustRightInd w:val="0"/>
        <w:snapToGrid w:val="0"/>
        <w:ind w:right="142"/>
        <w:jc w:val="right"/>
        <w:rPr>
          <w:rFonts w:asciiTheme="minorEastAsia" w:hAnsiTheme="minorEastAsia" w:cs="標楷體"/>
        </w:rPr>
      </w:pPr>
    </w:p>
    <w:p w14:paraId="00000006" w14:textId="15D6DEA6" w:rsidR="00080CA5" w:rsidRPr="00C21D00" w:rsidRDefault="00444761" w:rsidP="00C21D00">
      <w:pPr>
        <w:pStyle w:val="a4"/>
        <w:numPr>
          <w:ilvl w:val="0"/>
          <w:numId w:val="3"/>
        </w:numPr>
        <w:pBdr>
          <w:top w:val="nil"/>
          <w:left w:val="nil"/>
          <w:bottom w:val="nil"/>
          <w:right w:val="nil"/>
          <w:between w:val="nil"/>
        </w:pBdr>
        <w:spacing w:line="360" w:lineRule="auto"/>
        <w:ind w:leftChars="0"/>
        <w:rPr>
          <w:rFonts w:asciiTheme="minorEastAsia" w:hAnsiTheme="minorEastAsia" w:cs="標楷體"/>
          <w:color w:val="000000"/>
        </w:rPr>
      </w:pPr>
      <w:r w:rsidRPr="00C21D00">
        <w:rPr>
          <w:rFonts w:asciiTheme="minorEastAsia" w:hAnsiTheme="minorEastAsia" w:cs="標楷體"/>
          <w:color w:val="000000"/>
        </w:rPr>
        <w:t>為鼓勵本院學生積極培養第二專長、運用所學服務社會，特設置「輔仁大學 外語學院《</w:t>
      </w:r>
      <w:r w:rsidRPr="00C21D00">
        <w:rPr>
          <w:rFonts w:asciiTheme="minorEastAsia" w:hAnsiTheme="minorEastAsia" w:cs="標楷體"/>
          <w:b/>
          <w:color w:val="000000"/>
        </w:rPr>
        <w:t>服務與跨域學習成就獎</w:t>
      </w:r>
      <w:r w:rsidRPr="00C21D00">
        <w:rPr>
          <w:rFonts w:asciiTheme="minorEastAsia" w:hAnsiTheme="minorEastAsia" w:cs="標楷體"/>
          <w:color w:val="000000"/>
        </w:rPr>
        <w:t>》實施辦法」(以</w:t>
      </w:r>
      <w:bookmarkStart w:id="2" w:name="_GoBack"/>
      <w:bookmarkEnd w:id="2"/>
      <w:r w:rsidRPr="00C21D00">
        <w:rPr>
          <w:rFonts w:asciiTheme="minorEastAsia" w:hAnsiTheme="minorEastAsia" w:cs="標楷體"/>
          <w:color w:val="000000"/>
        </w:rPr>
        <w:t>下簡稱為本辦法)。</w:t>
      </w:r>
    </w:p>
    <w:p w14:paraId="00000007" w14:textId="52F8A131" w:rsidR="00080CA5" w:rsidRPr="00C21D00" w:rsidRDefault="00444761" w:rsidP="00C21D00">
      <w:pPr>
        <w:pStyle w:val="a4"/>
        <w:numPr>
          <w:ilvl w:val="0"/>
          <w:numId w:val="3"/>
        </w:numPr>
        <w:pBdr>
          <w:top w:val="nil"/>
          <w:left w:val="nil"/>
          <w:bottom w:val="nil"/>
          <w:right w:val="nil"/>
          <w:between w:val="nil"/>
        </w:pBdr>
        <w:spacing w:line="360" w:lineRule="auto"/>
        <w:ind w:leftChars="0"/>
        <w:rPr>
          <w:rFonts w:asciiTheme="minorEastAsia" w:hAnsiTheme="minorEastAsia" w:cs="標楷體"/>
          <w:color w:val="000000"/>
        </w:rPr>
      </w:pPr>
      <w:r w:rsidRPr="00C21D00">
        <w:rPr>
          <w:rFonts w:asciiTheme="minorEastAsia" w:hAnsiTheme="minorEastAsia" w:cs="標楷體"/>
          <w:color w:val="000000"/>
        </w:rPr>
        <w:t>服務</w:t>
      </w:r>
      <w:proofErr w:type="gramStart"/>
      <w:r w:rsidRPr="00C21D00">
        <w:rPr>
          <w:rFonts w:asciiTheme="minorEastAsia" w:hAnsiTheme="minorEastAsia" w:cs="標楷體"/>
          <w:color w:val="000000"/>
        </w:rPr>
        <w:t>與跨域學習</w:t>
      </w:r>
      <w:proofErr w:type="gramEnd"/>
      <w:r w:rsidRPr="00C21D00">
        <w:rPr>
          <w:rFonts w:asciiTheme="minorEastAsia" w:hAnsiTheme="minorEastAsia" w:cs="標楷體"/>
          <w:color w:val="000000"/>
        </w:rPr>
        <w:t>成就分三種類型：</w:t>
      </w:r>
    </w:p>
    <w:p w14:paraId="00000008" w14:textId="77777777" w:rsidR="00080CA5" w:rsidRPr="00C21D00" w:rsidRDefault="00444761">
      <w:pPr>
        <w:numPr>
          <w:ilvl w:val="1"/>
          <w:numId w:val="1"/>
        </w:numPr>
        <w:tabs>
          <w:tab w:val="left" w:pos="993"/>
          <w:tab w:val="left" w:pos="1134"/>
          <w:tab w:val="left" w:pos="1418"/>
          <w:tab w:val="left" w:pos="1701"/>
        </w:tabs>
        <w:spacing w:line="360" w:lineRule="auto"/>
        <w:ind w:left="1417" w:hanging="283"/>
        <w:rPr>
          <w:rFonts w:asciiTheme="minorEastAsia" w:hAnsiTheme="minorEastAsia" w:cs="標楷體"/>
        </w:rPr>
      </w:pPr>
      <w:r w:rsidRPr="00C21D00">
        <w:rPr>
          <w:rFonts w:asciiTheme="minorEastAsia" w:hAnsiTheme="minorEastAsia" w:cs="標楷體"/>
          <w:b/>
        </w:rPr>
        <w:t>社團服務獎</w:t>
      </w:r>
      <w:r w:rsidRPr="00C21D00">
        <w:rPr>
          <w:rFonts w:asciiTheme="minorEastAsia" w:hAnsiTheme="minorEastAsia" w:cs="標楷體"/>
        </w:rPr>
        <w:t>：帶領校內院、系學生社團，成果顯著優秀，獲得所服務之師生肯定。</w:t>
      </w:r>
    </w:p>
    <w:p w14:paraId="00000009" w14:textId="77777777" w:rsidR="00080CA5" w:rsidRPr="00C21D00" w:rsidRDefault="00444761">
      <w:pPr>
        <w:numPr>
          <w:ilvl w:val="1"/>
          <w:numId w:val="1"/>
        </w:numPr>
        <w:tabs>
          <w:tab w:val="left" w:pos="993"/>
          <w:tab w:val="left" w:pos="1134"/>
          <w:tab w:val="left" w:pos="1418"/>
          <w:tab w:val="left" w:pos="1701"/>
        </w:tabs>
        <w:spacing w:line="360" w:lineRule="auto"/>
        <w:ind w:left="1418" w:hanging="284"/>
        <w:rPr>
          <w:rFonts w:asciiTheme="minorEastAsia" w:hAnsiTheme="minorEastAsia" w:cs="標楷體"/>
        </w:rPr>
      </w:pPr>
      <w:r w:rsidRPr="00C21D00">
        <w:rPr>
          <w:rFonts w:asciiTheme="minorEastAsia" w:hAnsiTheme="minorEastAsia" w:cs="標楷體"/>
          <w:b/>
        </w:rPr>
        <w:t>服務學習獎</w:t>
      </w:r>
      <w:r w:rsidRPr="00C21D00">
        <w:rPr>
          <w:rFonts w:asciiTheme="minorEastAsia" w:hAnsiTheme="minorEastAsia" w:cs="標楷體"/>
        </w:rPr>
        <w:t>：參與校內外服務學習團隊兩年以上，和服務團隊與服務對象培養良好關係，並積極改善傳承服務內涵。</w:t>
      </w:r>
    </w:p>
    <w:p w14:paraId="0000000A" w14:textId="77777777" w:rsidR="00080CA5" w:rsidRPr="00C21D00" w:rsidRDefault="00444761">
      <w:pPr>
        <w:numPr>
          <w:ilvl w:val="1"/>
          <w:numId w:val="1"/>
        </w:numPr>
        <w:tabs>
          <w:tab w:val="left" w:pos="993"/>
          <w:tab w:val="left" w:pos="1134"/>
          <w:tab w:val="left" w:pos="1418"/>
          <w:tab w:val="left" w:pos="1701"/>
        </w:tabs>
        <w:spacing w:line="360" w:lineRule="auto"/>
        <w:ind w:left="1418" w:hanging="284"/>
        <w:rPr>
          <w:rFonts w:asciiTheme="minorEastAsia" w:hAnsiTheme="minorEastAsia" w:cs="標楷體"/>
        </w:rPr>
      </w:pPr>
      <w:r w:rsidRPr="00C21D00">
        <w:rPr>
          <w:rFonts w:asciiTheme="minorEastAsia" w:hAnsiTheme="minorEastAsia" w:cs="標楷體"/>
          <w:b/>
        </w:rPr>
        <w:t>學術成就獎</w:t>
      </w:r>
      <w:r w:rsidRPr="00C21D00">
        <w:rPr>
          <w:rFonts w:asciiTheme="minorEastAsia" w:hAnsiTheme="minorEastAsia" w:cs="標楷體"/>
        </w:rPr>
        <w:t>：</w:t>
      </w:r>
    </w:p>
    <w:p w14:paraId="0000000B" w14:textId="77777777" w:rsidR="00080CA5" w:rsidRPr="00C21D00" w:rsidRDefault="00444761">
      <w:pPr>
        <w:tabs>
          <w:tab w:val="left" w:pos="993"/>
          <w:tab w:val="left" w:pos="1134"/>
          <w:tab w:val="left" w:pos="1418"/>
          <w:tab w:val="left" w:pos="1701"/>
        </w:tabs>
        <w:spacing w:line="360" w:lineRule="auto"/>
        <w:ind w:left="1560"/>
        <w:rPr>
          <w:rFonts w:asciiTheme="minorEastAsia" w:hAnsiTheme="minorEastAsia" w:cs="標楷體"/>
        </w:rPr>
      </w:pPr>
      <w:proofErr w:type="gramStart"/>
      <w:r w:rsidRPr="00C21D00">
        <w:rPr>
          <w:rFonts w:asciiTheme="minorEastAsia" w:hAnsiTheme="minorEastAsia" w:cs="標楷體"/>
        </w:rPr>
        <w:t>─</w:t>
      </w:r>
      <w:proofErr w:type="gramEnd"/>
      <w:r w:rsidRPr="00C21D00">
        <w:rPr>
          <w:rFonts w:asciiTheme="minorEastAsia" w:hAnsiTheme="minorEastAsia" w:cs="標楷體"/>
        </w:rPr>
        <w:t xml:space="preserve"> </w:t>
      </w:r>
      <w:proofErr w:type="gramStart"/>
      <w:r w:rsidRPr="00C21D00">
        <w:rPr>
          <w:rFonts w:asciiTheme="minorEastAsia" w:hAnsiTheme="minorEastAsia" w:cs="標楷體"/>
        </w:rPr>
        <w:t>學士生跨領域</w:t>
      </w:r>
      <w:proofErr w:type="gramEnd"/>
      <w:r w:rsidRPr="00C21D00">
        <w:rPr>
          <w:rFonts w:asciiTheme="minorEastAsia" w:hAnsiTheme="minorEastAsia" w:cs="標楷體"/>
        </w:rPr>
        <w:t>學習獲得學程、輔系或雙學位證書，</w:t>
      </w:r>
      <w:proofErr w:type="gramStart"/>
      <w:r w:rsidRPr="00C21D00">
        <w:rPr>
          <w:rFonts w:asciiTheme="minorEastAsia" w:hAnsiTheme="minorEastAsia" w:cs="標楷體"/>
        </w:rPr>
        <w:t>並且跨域學習</w:t>
      </w:r>
      <w:proofErr w:type="gramEnd"/>
      <w:r w:rsidRPr="00C21D00">
        <w:rPr>
          <w:rFonts w:asciiTheme="minorEastAsia" w:hAnsiTheme="minorEastAsia" w:cs="標楷體"/>
        </w:rPr>
        <w:t>成果獲《學習成果與畢業專題聯展》獎。</w:t>
      </w:r>
    </w:p>
    <w:p w14:paraId="0000000C" w14:textId="77777777" w:rsidR="00080CA5" w:rsidRPr="00C21D00" w:rsidRDefault="00444761">
      <w:pPr>
        <w:tabs>
          <w:tab w:val="left" w:pos="993"/>
          <w:tab w:val="left" w:pos="1134"/>
          <w:tab w:val="left" w:pos="1418"/>
          <w:tab w:val="left" w:pos="1701"/>
        </w:tabs>
        <w:spacing w:line="360" w:lineRule="auto"/>
        <w:ind w:left="1560"/>
        <w:rPr>
          <w:rFonts w:asciiTheme="minorEastAsia" w:hAnsiTheme="minorEastAsia" w:cs="標楷體"/>
        </w:rPr>
      </w:pPr>
      <w:proofErr w:type="gramStart"/>
      <w:r w:rsidRPr="00C21D00">
        <w:rPr>
          <w:rFonts w:asciiTheme="minorEastAsia" w:hAnsiTheme="minorEastAsia" w:cs="標楷體"/>
        </w:rPr>
        <w:t>─</w:t>
      </w:r>
      <w:proofErr w:type="gramEnd"/>
      <w:r w:rsidRPr="00C21D00">
        <w:rPr>
          <w:rFonts w:asciiTheme="minorEastAsia" w:hAnsiTheme="minorEastAsia" w:cs="標楷體"/>
        </w:rPr>
        <w:t xml:space="preserve"> 碩士生畢業時跨領域學習獲得學程證書，且學習成果反映於具審查制度之學術發表或受論文指導教授與口試委員兩名推薦。</w:t>
      </w:r>
    </w:p>
    <w:p w14:paraId="0000000D" w14:textId="12E678E2" w:rsidR="00080CA5" w:rsidRPr="00C21D00" w:rsidRDefault="00444761" w:rsidP="00C21D00">
      <w:pPr>
        <w:pStyle w:val="a4"/>
        <w:numPr>
          <w:ilvl w:val="0"/>
          <w:numId w:val="3"/>
        </w:numPr>
        <w:pBdr>
          <w:top w:val="nil"/>
          <w:left w:val="nil"/>
          <w:bottom w:val="nil"/>
          <w:right w:val="nil"/>
          <w:between w:val="nil"/>
        </w:pBdr>
        <w:spacing w:line="360" w:lineRule="auto"/>
        <w:ind w:leftChars="0"/>
        <w:rPr>
          <w:rFonts w:asciiTheme="minorEastAsia" w:hAnsiTheme="minorEastAsia" w:cs="標楷體"/>
          <w:color w:val="000000"/>
        </w:rPr>
      </w:pPr>
      <w:r w:rsidRPr="00C21D00">
        <w:rPr>
          <w:rFonts w:asciiTheme="minorEastAsia" w:hAnsiTheme="minorEastAsia" w:cs="標楷體"/>
          <w:color w:val="000000"/>
        </w:rPr>
        <w:t>申請資格：輔仁大學外語學院六系一所之大學部與碩士班（含學程）推薦之外語學院應屆畢業生；一個單位（含學程）</w:t>
      </w:r>
      <w:proofErr w:type="gramStart"/>
      <w:r w:rsidRPr="00C21D00">
        <w:rPr>
          <w:rFonts w:asciiTheme="minorEastAsia" w:hAnsiTheme="minorEastAsia" w:cs="標楷體"/>
          <w:color w:val="000000"/>
        </w:rPr>
        <w:t>每種限推薦</w:t>
      </w:r>
      <w:proofErr w:type="gramEnd"/>
      <w:r w:rsidRPr="00C21D00">
        <w:rPr>
          <w:rFonts w:asciiTheme="minorEastAsia" w:hAnsiTheme="minorEastAsia" w:cs="標楷體"/>
          <w:color w:val="000000"/>
        </w:rPr>
        <w:t>二名。</w:t>
      </w:r>
    </w:p>
    <w:p w14:paraId="2B999516" w14:textId="77777777" w:rsidR="00C21D00" w:rsidRDefault="00444761" w:rsidP="00C21D00">
      <w:pPr>
        <w:pStyle w:val="a4"/>
        <w:numPr>
          <w:ilvl w:val="0"/>
          <w:numId w:val="3"/>
        </w:numPr>
        <w:pBdr>
          <w:top w:val="nil"/>
          <w:left w:val="nil"/>
          <w:bottom w:val="nil"/>
          <w:right w:val="nil"/>
          <w:between w:val="nil"/>
        </w:pBdr>
        <w:spacing w:line="360" w:lineRule="auto"/>
        <w:ind w:leftChars="0"/>
        <w:rPr>
          <w:rFonts w:asciiTheme="minorEastAsia" w:hAnsiTheme="minorEastAsia" w:cs="標楷體"/>
          <w:color w:val="000000"/>
        </w:rPr>
      </w:pPr>
      <w:r w:rsidRPr="00C21D00">
        <w:rPr>
          <w:rFonts w:asciiTheme="minorEastAsia" w:hAnsiTheme="minorEastAsia" w:cs="標楷體"/>
          <w:color w:val="000000"/>
        </w:rPr>
        <w:t>由院各系所於每年五月第一個禮拜推薦，主管會議審查。</w:t>
      </w:r>
    </w:p>
    <w:p w14:paraId="0654DF81" w14:textId="77777777" w:rsidR="00C21D00" w:rsidRDefault="00444761" w:rsidP="00C21D00">
      <w:pPr>
        <w:pStyle w:val="a4"/>
        <w:numPr>
          <w:ilvl w:val="0"/>
          <w:numId w:val="3"/>
        </w:numPr>
        <w:pBdr>
          <w:top w:val="nil"/>
          <w:left w:val="nil"/>
          <w:bottom w:val="nil"/>
          <w:right w:val="nil"/>
          <w:between w:val="nil"/>
        </w:pBdr>
        <w:spacing w:line="360" w:lineRule="auto"/>
        <w:ind w:leftChars="0"/>
        <w:rPr>
          <w:rFonts w:asciiTheme="minorEastAsia" w:hAnsiTheme="minorEastAsia" w:cs="標楷體"/>
          <w:color w:val="000000"/>
        </w:rPr>
      </w:pPr>
      <w:r w:rsidRPr="00C21D00">
        <w:rPr>
          <w:rFonts w:asciiTheme="minorEastAsia" w:hAnsiTheme="minorEastAsia" w:cs="標楷體"/>
          <w:color w:val="000000"/>
        </w:rPr>
        <w:t>受推薦者</w:t>
      </w:r>
      <w:proofErr w:type="gramStart"/>
      <w:r w:rsidRPr="00C21D00">
        <w:rPr>
          <w:rFonts w:asciiTheme="minorEastAsia" w:hAnsiTheme="minorEastAsia" w:cs="標楷體"/>
          <w:color w:val="000000"/>
        </w:rPr>
        <w:t>需填受推薦</w:t>
      </w:r>
      <w:proofErr w:type="gramEnd"/>
      <w:r w:rsidRPr="00C21D00">
        <w:rPr>
          <w:rFonts w:asciiTheme="minorEastAsia" w:hAnsiTheme="minorEastAsia" w:cs="標楷體"/>
          <w:color w:val="000000"/>
        </w:rPr>
        <w:t>表格，並檢附相關成果證明。</w:t>
      </w:r>
    </w:p>
    <w:p w14:paraId="494D473E" w14:textId="77777777" w:rsidR="00C21D00" w:rsidRDefault="00444761" w:rsidP="00C21D00">
      <w:pPr>
        <w:pStyle w:val="a4"/>
        <w:numPr>
          <w:ilvl w:val="0"/>
          <w:numId w:val="3"/>
        </w:numPr>
        <w:pBdr>
          <w:top w:val="nil"/>
          <w:left w:val="nil"/>
          <w:bottom w:val="nil"/>
          <w:right w:val="nil"/>
          <w:between w:val="nil"/>
        </w:pBdr>
        <w:spacing w:line="360" w:lineRule="auto"/>
        <w:ind w:leftChars="0"/>
        <w:rPr>
          <w:rFonts w:asciiTheme="minorEastAsia" w:hAnsiTheme="minorEastAsia" w:cs="標楷體"/>
          <w:color w:val="000000"/>
        </w:rPr>
      </w:pPr>
      <w:r w:rsidRPr="00C21D00">
        <w:rPr>
          <w:rFonts w:asciiTheme="minorEastAsia" w:hAnsiTheme="minorEastAsia" w:cs="標楷體"/>
          <w:color w:val="000000"/>
        </w:rPr>
        <w:t>獲獎者於各系所畢業典禮茶會頒獎；獲獎事蹟或成果亦擇要刊於外語學院網站。</w:t>
      </w:r>
    </w:p>
    <w:p w14:paraId="3107E841" w14:textId="77777777" w:rsidR="00C21D00" w:rsidRPr="00C21D00" w:rsidRDefault="00444761" w:rsidP="00C21D00">
      <w:pPr>
        <w:pStyle w:val="a4"/>
        <w:numPr>
          <w:ilvl w:val="0"/>
          <w:numId w:val="3"/>
        </w:numPr>
        <w:pBdr>
          <w:top w:val="nil"/>
          <w:left w:val="nil"/>
          <w:bottom w:val="nil"/>
          <w:right w:val="nil"/>
          <w:between w:val="nil"/>
        </w:pBdr>
        <w:spacing w:line="360" w:lineRule="auto"/>
        <w:ind w:leftChars="0"/>
        <w:rPr>
          <w:rFonts w:asciiTheme="minorEastAsia" w:hAnsiTheme="minorEastAsia" w:cs="標楷體"/>
          <w:color w:val="000000"/>
        </w:rPr>
      </w:pPr>
      <w:r w:rsidRPr="00C21D00">
        <w:rPr>
          <w:rFonts w:asciiTheme="minorEastAsia" w:hAnsiTheme="minorEastAsia" w:cs="標楷體"/>
        </w:rPr>
        <w:t>本獎勵金之經費來源為外語學院發展基金。</w:t>
      </w:r>
    </w:p>
    <w:p w14:paraId="05485915" w14:textId="77777777" w:rsidR="00C21D00" w:rsidRPr="00C21D00" w:rsidRDefault="00444761" w:rsidP="00C21D00">
      <w:pPr>
        <w:pStyle w:val="a4"/>
        <w:numPr>
          <w:ilvl w:val="0"/>
          <w:numId w:val="3"/>
        </w:numPr>
        <w:pBdr>
          <w:top w:val="nil"/>
          <w:left w:val="nil"/>
          <w:bottom w:val="nil"/>
          <w:right w:val="nil"/>
          <w:between w:val="nil"/>
        </w:pBdr>
        <w:spacing w:line="360" w:lineRule="auto"/>
        <w:ind w:leftChars="0"/>
        <w:rPr>
          <w:rFonts w:asciiTheme="minorEastAsia" w:hAnsiTheme="minorEastAsia" w:cs="標楷體"/>
          <w:color w:val="000000"/>
        </w:rPr>
      </w:pPr>
      <w:r w:rsidRPr="00C21D00">
        <w:rPr>
          <w:rFonts w:asciiTheme="minorEastAsia" w:hAnsiTheme="minorEastAsia" w:cs="標楷體"/>
          <w:color w:val="000000" w:themeColor="text1"/>
          <w:u w:val="single"/>
        </w:rPr>
        <w:t>獎勵分為兩級：特優獎、優良獎；獎金由審查委員決定，每年總金額上限為2萬元</w:t>
      </w:r>
      <w:r w:rsidRPr="00C21D00">
        <w:rPr>
          <w:rFonts w:asciiTheme="minorEastAsia" w:hAnsiTheme="minorEastAsia" w:cs="標楷體"/>
          <w:color w:val="000000" w:themeColor="text1"/>
        </w:rPr>
        <w:t>。</w:t>
      </w:r>
    </w:p>
    <w:p w14:paraId="00000013" w14:textId="1F0E5E67" w:rsidR="00080CA5" w:rsidRPr="00C21D00" w:rsidRDefault="00444761" w:rsidP="00C21D00">
      <w:pPr>
        <w:pStyle w:val="a4"/>
        <w:numPr>
          <w:ilvl w:val="0"/>
          <w:numId w:val="3"/>
        </w:numPr>
        <w:pBdr>
          <w:top w:val="nil"/>
          <w:left w:val="nil"/>
          <w:bottom w:val="nil"/>
          <w:right w:val="nil"/>
          <w:between w:val="nil"/>
        </w:pBdr>
        <w:spacing w:line="360" w:lineRule="auto"/>
        <w:ind w:leftChars="0"/>
        <w:rPr>
          <w:rFonts w:asciiTheme="minorEastAsia" w:hAnsiTheme="minorEastAsia" w:cs="標楷體"/>
          <w:color w:val="000000"/>
        </w:rPr>
      </w:pPr>
      <w:r w:rsidRPr="00C21D00">
        <w:rPr>
          <w:rFonts w:asciiTheme="minorEastAsia" w:hAnsiTheme="minorEastAsia" w:cs="標楷體"/>
          <w:color w:val="000000"/>
        </w:rPr>
        <w:t>本辦法經外語學院主管會議、院務會議審核通過後公布實施，修正時亦同。</w:t>
      </w:r>
    </w:p>
    <w:p w14:paraId="00000014" w14:textId="77777777" w:rsidR="00080CA5" w:rsidRPr="00C21D00" w:rsidRDefault="00080CA5">
      <w:pPr>
        <w:rPr>
          <w:rFonts w:asciiTheme="minorEastAsia" w:hAnsiTheme="minorEastAsia" w:cs="標楷體"/>
        </w:rPr>
      </w:pPr>
    </w:p>
    <w:p w14:paraId="00000015" w14:textId="77777777" w:rsidR="00080CA5" w:rsidRPr="00C21D00" w:rsidRDefault="00080CA5">
      <w:pPr>
        <w:rPr>
          <w:rFonts w:asciiTheme="minorEastAsia" w:hAnsiTheme="minorEastAsia" w:cs="Times New Roman"/>
        </w:rPr>
      </w:pPr>
    </w:p>
    <w:sectPr w:rsidR="00080CA5" w:rsidRPr="00C21D00" w:rsidSect="00444761">
      <w:pgSz w:w="11906" w:h="16838"/>
      <w:pgMar w:top="1440" w:right="1416" w:bottom="1440"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B4A1B"/>
    <w:multiLevelType w:val="multilevel"/>
    <w:tmpl w:val="C680B16C"/>
    <w:lvl w:ilvl="0">
      <w:start w:val="1"/>
      <w:numFmt w:val="decimal"/>
      <w:lvlText w:val="第%1條"/>
      <w:lvlJc w:val="left"/>
      <w:pPr>
        <w:ind w:left="780" w:hanging="780"/>
      </w:pPr>
      <w:rPr>
        <w:color w:val="000000" w:themeColor="text1"/>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3E75519"/>
    <w:multiLevelType w:val="multilevel"/>
    <w:tmpl w:val="C60E9908"/>
    <w:lvl w:ilvl="0">
      <w:start w:val="1"/>
      <w:numFmt w:val="decimal"/>
      <w:lvlText w:val="第%1條"/>
      <w:lvlJc w:val="left"/>
      <w:pPr>
        <w:ind w:left="960" w:hanging="960"/>
      </w:pPr>
    </w:lvl>
    <w:lvl w:ilvl="1">
      <w:start w:val="1"/>
      <w:numFmt w:val="decimal"/>
      <w:lvlText w:val="%2."/>
      <w:lvlJc w:val="left"/>
      <w:pPr>
        <w:ind w:left="840" w:hanging="360"/>
      </w:pPr>
      <w:rPr>
        <w:rFonts w:ascii="Times New Roman" w:eastAsia="Times New Roman" w:hAnsi="Times New Roman"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F27767E"/>
    <w:multiLevelType w:val="hybridMultilevel"/>
    <w:tmpl w:val="087A78B4"/>
    <w:lvl w:ilvl="0" w:tplc="5EB0FF26">
      <w:start w:val="1"/>
      <w:numFmt w:val="taiwaneseCountingThousand"/>
      <w:lvlText w:val="第%1條"/>
      <w:lvlJc w:val="left"/>
      <w:pPr>
        <w:ind w:left="1140" w:hanging="11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A5"/>
    <w:rsid w:val="00080CA5"/>
    <w:rsid w:val="0010699D"/>
    <w:rsid w:val="00444761"/>
    <w:rsid w:val="00C21D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91E0"/>
  <w15:docId w15:val="{653999E7-40C3-47B6-A25C-FE779CCB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675157"/>
    <w:pPr>
      <w:ind w:leftChars="200" w:left="480"/>
    </w:pPr>
  </w:style>
  <w:style w:type="paragraph" w:styleId="a5">
    <w:name w:val="Balloon Text"/>
    <w:basedOn w:val="a"/>
    <w:link w:val="a6"/>
    <w:uiPriority w:val="99"/>
    <w:semiHidden/>
    <w:unhideWhenUsed/>
    <w:rsid w:val="00516A7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16A72"/>
    <w:rPr>
      <w:rFonts w:asciiTheme="majorHAnsi" w:eastAsiaTheme="majorEastAsia" w:hAnsiTheme="majorHAnsi" w:cstheme="majorBidi"/>
      <w:sz w:val="18"/>
      <w:szCs w:val="18"/>
    </w:rPr>
  </w:style>
  <w:style w:type="paragraph" w:styleId="a7">
    <w:name w:val="header"/>
    <w:basedOn w:val="a"/>
    <w:link w:val="a8"/>
    <w:uiPriority w:val="99"/>
    <w:unhideWhenUsed/>
    <w:rsid w:val="00A23F06"/>
    <w:pPr>
      <w:tabs>
        <w:tab w:val="center" w:pos="4153"/>
        <w:tab w:val="right" w:pos="8306"/>
      </w:tabs>
      <w:snapToGrid w:val="0"/>
    </w:pPr>
    <w:rPr>
      <w:sz w:val="20"/>
      <w:szCs w:val="20"/>
    </w:rPr>
  </w:style>
  <w:style w:type="character" w:customStyle="1" w:styleId="a8">
    <w:name w:val="頁首 字元"/>
    <w:basedOn w:val="a0"/>
    <w:link w:val="a7"/>
    <w:uiPriority w:val="99"/>
    <w:rsid w:val="00A23F06"/>
    <w:rPr>
      <w:sz w:val="20"/>
      <w:szCs w:val="20"/>
    </w:rPr>
  </w:style>
  <w:style w:type="paragraph" w:styleId="a9">
    <w:name w:val="footer"/>
    <w:basedOn w:val="a"/>
    <w:link w:val="aa"/>
    <w:uiPriority w:val="99"/>
    <w:unhideWhenUsed/>
    <w:rsid w:val="00A23F06"/>
    <w:pPr>
      <w:tabs>
        <w:tab w:val="center" w:pos="4153"/>
        <w:tab w:val="right" w:pos="8306"/>
      </w:tabs>
      <w:snapToGrid w:val="0"/>
    </w:pPr>
    <w:rPr>
      <w:sz w:val="20"/>
      <w:szCs w:val="20"/>
    </w:rPr>
  </w:style>
  <w:style w:type="character" w:customStyle="1" w:styleId="aa">
    <w:name w:val="頁尾 字元"/>
    <w:basedOn w:val="a0"/>
    <w:link w:val="a9"/>
    <w:uiPriority w:val="99"/>
    <w:rsid w:val="00A23F06"/>
    <w:rPr>
      <w:sz w:val="20"/>
      <w:szCs w:val="20"/>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t4iEr/wNFHOXXV0AvbCuLw40Ig==">AMUW2mW93A+wWagKo/c5xd0jaVqFLNjGa3oPHtC7jrngDteGMSn4BsYLQoMrKgVfC5soquFgdmwNgUMYiSQ36U4FaO83vJ74yoGgp6iJxA0N9t9Qb405kd4YyMLjTusuKrcbdVYz7SVd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2022-03-29T01:46:00Z</dcterms:created>
  <dcterms:modified xsi:type="dcterms:W3CDTF">2022-04-14T04:14:00Z</dcterms:modified>
</cp:coreProperties>
</file>